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Pr="005F4BE5" w:rsidRDefault="00C01473" w:rsidP="005F4BE5">
      <w:pPr>
        <w:autoSpaceDE w:val="0"/>
        <w:autoSpaceDN w:val="0"/>
        <w:adjustRightInd w:val="0"/>
        <w:contextualSpacing/>
        <w:jc w:val="both"/>
        <w:rPr>
          <w:b/>
          <w:sz w:val="28"/>
          <w:szCs w:val="28"/>
        </w:rPr>
      </w:pPr>
    </w:p>
    <w:p w:rsidR="00235E1C" w:rsidRPr="00235E1C" w:rsidRDefault="00235E1C" w:rsidP="00235E1C">
      <w:pPr>
        <w:shd w:val="clear" w:color="auto" w:fill="FFFFFF"/>
        <w:contextualSpacing/>
        <w:jc w:val="both"/>
        <w:rPr>
          <w:b/>
          <w:bCs/>
          <w:color w:val="333333"/>
          <w:sz w:val="28"/>
          <w:szCs w:val="28"/>
        </w:rPr>
      </w:pPr>
      <w:bookmarkStart w:id="0" w:name="_GoBack"/>
      <w:r>
        <w:rPr>
          <w:b/>
          <w:bCs/>
          <w:color w:val="333333"/>
          <w:sz w:val="28"/>
          <w:szCs w:val="28"/>
        </w:rPr>
        <w:t>Возврат</w:t>
      </w:r>
      <w:r w:rsidRPr="00235E1C">
        <w:rPr>
          <w:b/>
          <w:bCs/>
          <w:color w:val="333333"/>
          <w:sz w:val="28"/>
          <w:szCs w:val="28"/>
        </w:rPr>
        <w:t xml:space="preserve"> излишне уплаченн</w:t>
      </w:r>
      <w:r>
        <w:rPr>
          <w:b/>
          <w:bCs/>
          <w:color w:val="333333"/>
          <w:sz w:val="28"/>
          <w:szCs w:val="28"/>
        </w:rPr>
        <w:t>ой</w:t>
      </w:r>
      <w:r w:rsidRPr="00235E1C">
        <w:rPr>
          <w:b/>
          <w:bCs/>
          <w:color w:val="333333"/>
          <w:sz w:val="28"/>
          <w:szCs w:val="28"/>
        </w:rPr>
        <w:t xml:space="preserve"> в суд госпошлин</w:t>
      </w:r>
      <w:r>
        <w:rPr>
          <w:b/>
          <w:bCs/>
          <w:color w:val="333333"/>
          <w:sz w:val="28"/>
          <w:szCs w:val="28"/>
        </w:rPr>
        <w:t>ы</w:t>
      </w:r>
    </w:p>
    <w:bookmarkEnd w:id="0"/>
    <w:p w:rsidR="00235E1C" w:rsidRPr="00235E1C" w:rsidRDefault="00235E1C" w:rsidP="00235E1C">
      <w:pPr>
        <w:shd w:val="clear" w:color="auto" w:fill="FFFFFF"/>
        <w:contextualSpacing/>
        <w:jc w:val="both"/>
        <w:rPr>
          <w:color w:val="000000"/>
          <w:sz w:val="28"/>
          <w:szCs w:val="28"/>
        </w:rPr>
      </w:pPr>
      <w:r w:rsidRPr="00235E1C">
        <w:rPr>
          <w:color w:val="000000"/>
          <w:sz w:val="28"/>
          <w:szCs w:val="28"/>
        </w:rPr>
        <w:t> </w:t>
      </w:r>
      <w:r w:rsidRPr="00235E1C">
        <w:rPr>
          <w:color w:val="FFFFFF"/>
          <w:sz w:val="28"/>
          <w:szCs w:val="28"/>
        </w:rPr>
        <w:t>Текст</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Общий порядок возврата государственной пошлины, в том числе уплаченной в суд, определен в ст. 333.40 НК РФ. Если госпошлина излишне уплачена в суд, например в арбитражный суд или в суд общей юрисдикции, то заявление о возврате подается плательщиком государственной пошлины в налоговый орган по месту нахождения суда, в котором рассматривалось дело, либо в налоговый орган по месту учета указанного плательщика госпошлины (</w:t>
      </w:r>
      <w:proofErr w:type="spellStart"/>
      <w:r w:rsidRPr="00235E1C">
        <w:rPr>
          <w:color w:val="333333"/>
          <w:sz w:val="28"/>
          <w:szCs w:val="28"/>
        </w:rPr>
        <w:t>абз</w:t>
      </w:r>
      <w:proofErr w:type="spellEnd"/>
      <w:r w:rsidRPr="00235E1C">
        <w:rPr>
          <w:color w:val="333333"/>
          <w:sz w:val="28"/>
          <w:szCs w:val="28"/>
        </w:rPr>
        <w:t>. 7 п. 3 ст. 333.40 НК РФ).</w:t>
      </w:r>
    </w:p>
    <w:p w:rsidR="00235E1C" w:rsidRDefault="00235E1C" w:rsidP="00235E1C">
      <w:pPr>
        <w:shd w:val="clear" w:color="auto" w:fill="FFFFFF"/>
        <w:ind w:firstLine="708"/>
        <w:contextualSpacing/>
        <w:jc w:val="both"/>
        <w:rPr>
          <w:color w:val="333333"/>
          <w:sz w:val="28"/>
          <w:szCs w:val="28"/>
        </w:rPr>
      </w:pPr>
      <w:r w:rsidRPr="00235E1C">
        <w:rPr>
          <w:color w:val="333333"/>
          <w:sz w:val="28"/>
          <w:szCs w:val="28"/>
        </w:rPr>
        <w:t xml:space="preserve">Заявление о возврате излишне уплаченной суммы госпошлины может быть подано в течение 3 лет со дня уплаты указанной суммы. Возврат производится в течение 1 месяца со дня подачи указанного заявления о возврате. </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Решение о возврате принимает суд, осуществляющий действия, за которые уплачена государственная пошлина (п. 3 ст. 333.40 НК РФ).</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При этом к заявлению о возврате излишне уплаченной суммы госпошлины по делам, рассматриваемым судами общей юрисдикции, арбитражными судами, Верховным Судом РФ, Конституционным Судом РФ, мировыми судьями, прилагаются решения, определения или справки судов об обстоятельствах, являющихся основанием для полного или частичного возврата излишне уплаченной суммы государственной пошлины, а также копии платежных документов.</w:t>
      </w:r>
    </w:p>
    <w:p w:rsidR="00235E1C" w:rsidRPr="00235E1C" w:rsidRDefault="00235E1C" w:rsidP="00235E1C">
      <w:pPr>
        <w:shd w:val="clear" w:color="auto" w:fill="FFFFFF"/>
        <w:ind w:firstLine="708"/>
        <w:contextualSpacing/>
        <w:jc w:val="both"/>
        <w:rPr>
          <w:color w:val="333333"/>
          <w:sz w:val="28"/>
          <w:szCs w:val="28"/>
        </w:rPr>
      </w:pPr>
      <w:r w:rsidRPr="00235E1C">
        <w:rPr>
          <w:color w:val="333333"/>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представление документов, подтверждающих уплату плательщиком государственной пошлины в целях п. п. 3 и 6 настоящей статьи, не требуется</w:t>
      </w:r>
      <w:r w:rsidRPr="00235E1C">
        <w:rPr>
          <w:rFonts w:ascii="Tahoma" w:hAnsi="Tahoma" w:cs="Tahoma"/>
          <w:color w:val="333333"/>
          <w:sz w:val="28"/>
          <w:szCs w:val="28"/>
        </w:rPr>
        <w:t>﻿</w:t>
      </w:r>
    </w:p>
    <w:p w:rsidR="00E87603" w:rsidRPr="00DE3EB3" w:rsidRDefault="00E87603" w:rsidP="00DE3EB3">
      <w:pPr>
        <w:shd w:val="clear" w:color="auto" w:fill="FFFFFF"/>
        <w:contextualSpacing/>
        <w:jc w:val="both"/>
        <w:rPr>
          <w:color w:val="333333"/>
          <w:sz w:val="28"/>
          <w:szCs w:val="28"/>
        </w:rPr>
      </w:pPr>
    </w:p>
    <w:p w:rsidR="001C283A" w:rsidRPr="00E87603" w:rsidRDefault="001C283A" w:rsidP="00E87603">
      <w:pPr>
        <w:shd w:val="clear" w:color="auto" w:fill="FFFFFF"/>
        <w:contextualSpacing/>
        <w:jc w:val="both"/>
        <w:rPr>
          <w:color w:val="333333"/>
          <w:sz w:val="28"/>
          <w:szCs w:val="28"/>
        </w:rPr>
      </w:pPr>
    </w:p>
    <w:p w:rsidR="000B41FE" w:rsidRPr="00564199" w:rsidRDefault="00750D5C" w:rsidP="002920B4">
      <w:pPr>
        <w:autoSpaceDE w:val="0"/>
        <w:autoSpaceDN w:val="0"/>
        <w:adjustRightInd w:val="0"/>
        <w:spacing w:line="240" w:lineRule="exact"/>
        <w:contextualSpacing/>
        <w:jc w:val="both"/>
        <w:rPr>
          <w:sz w:val="28"/>
          <w:szCs w:val="28"/>
        </w:rPr>
      </w:pPr>
      <w:proofErr w:type="spellStart"/>
      <w:r>
        <w:rPr>
          <w:sz w:val="28"/>
          <w:szCs w:val="28"/>
        </w:rPr>
        <w:t>И.о</w:t>
      </w:r>
      <w:proofErr w:type="spellEnd"/>
      <w:r>
        <w:rPr>
          <w:sz w:val="28"/>
          <w:szCs w:val="28"/>
        </w:rPr>
        <w:t>.</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2"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9"/>
  </w:num>
  <w:num w:numId="2">
    <w:abstractNumId w:val="4"/>
  </w:num>
  <w:num w:numId="3">
    <w:abstractNumId w:val="8"/>
  </w:num>
  <w:num w:numId="4">
    <w:abstractNumId w:val="1"/>
  </w:num>
  <w:num w:numId="5">
    <w:abstractNumId w:val="11"/>
  </w:num>
  <w:num w:numId="6">
    <w:abstractNumId w:val="14"/>
  </w:num>
  <w:num w:numId="7">
    <w:abstractNumId w:val="2"/>
  </w:num>
  <w:num w:numId="8">
    <w:abstractNumId w:val="0"/>
  </w:num>
  <w:num w:numId="9">
    <w:abstractNumId w:val="10"/>
  </w:num>
  <w:num w:numId="10">
    <w:abstractNumId w:val="12"/>
  </w:num>
  <w:num w:numId="11">
    <w:abstractNumId w:val="13"/>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5E1C"/>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8F0"/>
    <w:rsid w:val="00760CD6"/>
    <w:rsid w:val="0076186A"/>
    <w:rsid w:val="00761E16"/>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701BB"/>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2023-06-26T12:18:00Z</cp:lastPrinted>
  <dcterms:created xsi:type="dcterms:W3CDTF">2023-07-27T10:27:00Z</dcterms:created>
  <dcterms:modified xsi:type="dcterms:W3CDTF">2023-07-27T10:27:00Z</dcterms:modified>
</cp:coreProperties>
</file>